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9256" w14:textId="6598B827" w:rsidR="00506427" w:rsidRPr="006F3B10" w:rsidRDefault="00590FFB" w:rsidP="00586ED4">
      <w:pPr>
        <w:spacing w:after="0"/>
        <w:ind w:left="3600" w:firstLine="720"/>
        <w:rPr>
          <w:b/>
          <w:sz w:val="28"/>
          <w:szCs w:val="28"/>
        </w:rPr>
      </w:pPr>
      <w:r w:rsidRPr="006F3B10">
        <w:rPr>
          <w:b/>
          <w:sz w:val="28"/>
          <w:szCs w:val="28"/>
        </w:rPr>
        <w:t>P</w:t>
      </w:r>
      <w:r w:rsidR="00506427" w:rsidRPr="006F3B10">
        <w:rPr>
          <w:b/>
          <w:sz w:val="28"/>
          <w:szCs w:val="28"/>
        </w:rPr>
        <w:t>RACTICE PROFILE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134"/>
        <w:gridCol w:w="1134"/>
        <w:gridCol w:w="3119"/>
        <w:gridCol w:w="3827"/>
      </w:tblGrid>
      <w:tr w:rsidR="0096786A" w:rsidRPr="00BF092F" w14:paraId="70B9B52F" w14:textId="77777777" w:rsidTr="00CF49DF">
        <w:tc>
          <w:tcPr>
            <w:tcW w:w="3261" w:type="dxa"/>
            <w:gridSpan w:val="2"/>
            <w:shd w:val="clear" w:color="auto" w:fill="DAEEF3"/>
          </w:tcPr>
          <w:p w14:paraId="4EE0C668" w14:textId="77777777" w:rsidR="0096786A" w:rsidRPr="00EE52D7" w:rsidRDefault="0096786A" w:rsidP="00A61F1F">
            <w:pPr>
              <w:spacing w:after="0" w:line="240" w:lineRule="auto"/>
            </w:pPr>
            <w:r w:rsidRPr="00EE52D7">
              <w:t>Area</w:t>
            </w:r>
          </w:p>
        </w:tc>
        <w:tc>
          <w:tcPr>
            <w:tcW w:w="4253" w:type="dxa"/>
            <w:gridSpan w:val="2"/>
            <w:shd w:val="clear" w:color="auto" w:fill="DAEEF3"/>
          </w:tcPr>
          <w:p w14:paraId="20286378" w14:textId="77777777" w:rsidR="0096786A" w:rsidRPr="00EE52D7" w:rsidRDefault="0096786A" w:rsidP="00A61F1F">
            <w:pPr>
              <w:spacing w:after="0" w:line="240" w:lineRule="auto"/>
            </w:pPr>
            <w:r w:rsidRPr="00EE52D7">
              <w:t xml:space="preserve">Location </w:t>
            </w:r>
          </w:p>
        </w:tc>
        <w:tc>
          <w:tcPr>
            <w:tcW w:w="3827" w:type="dxa"/>
            <w:shd w:val="clear" w:color="auto" w:fill="DAEEF3"/>
          </w:tcPr>
          <w:p w14:paraId="487CA459" w14:textId="77777777" w:rsidR="0096786A" w:rsidRPr="00EE52D7" w:rsidRDefault="00EC6896" w:rsidP="0096786A">
            <w:pPr>
              <w:spacing w:after="0" w:line="240" w:lineRule="auto"/>
            </w:pPr>
            <w:r w:rsidRPr="00EE52D7">
              <w:t>Contact Number</w:t>
            </w:r>
          </w:p>
        </w:tc>
      </w:tr>
      <w:tr w:rsidR="0096786A" w:rsidRPr="00BF092F" w14:paraId="504FBC9A" w14:textId="77777777" w:rsidTr="00CF49DF">
        <w:tc>
          <w:tcPr>
            <w:tcW w:w="3261" w:type="dxa"/>
            <w:gridSpan w:val="2"/>
          </w:tcPr>
          <w:p w14:paraId="1F68B786" w14:textId="46EB4401" w:rsidR="0096786A" w:rsidRPr="00EE52D7" w:rsidRDefault="00A926AE" w:rsidP="009678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Stroke Unit</w:t>
            </w:r>
          </w:p>
        </w:tc>
        <w:tc>
          <w:tcPr>
            <w:tcW w:w="4253" w:type="dxa"/>
            <w:gridSpan w:val="2"/>
          </w:tcPr>
          <w:p w14:paraId="0F555571" w14:textId="7E8C34C7" w:rsidR="0096786A" w:rsidRPr="00EE52D7" w:rsidRDefault="00910E36" w:rsidP="0096786A">
            <w:pPr>
              <w:spacing w:after="0" w:line="240" w:lineRule="auto"/>
            </w:pPr>
            <w:r>
              <w:t>2</w:t>
            </w:r>
            <w:r w:rsidRPr="00910E36">
              <w:rPr>
                <w:vertAlign w:val="superscript"/>
              </w:rPr>
              <w:t>nd</w:t>
            </w:r>
            <w:r>
              <w:t xml:space="preserve"> Floor North Hospital</w:t>
            </w:r>
            <w:r w:rsidR="004B772A">
              <w:t xml:space="preserve"> St Marys</w:t>
            </w:r>
          </w:p>
        </w:tc>
        <w:tc>
          <w:tcPr>
            <w:tcW w:w="3827" w:type="dxa"/>
          </w:tcPr>
          <w:p w14:paraId="57BB87A5" w14:textId="2D7899C2" w:rsidR="0096786A" w:rsidRPr="00EE52D7" w:rsidRDefault="004B772A" w:rsidP="00586ED4">
            <w:pPr>
              <w:spacing w:after="0" w:line="240" w:lineRule="auto"/>
              <w:jc w:val="center"/>
            </w:pPr>
            <w:r>
              <w:t>01983 534311</w:t>
            </w:r>
          </w:p>
        </w:tc>
      </w:tr>
      <w:tr w:rsidR="0096786A" w:rsidRPr="00BF092F" w14:paraId="729E98BD" w14:textId="77777777" w:rsidTr="00CF49DF">
        <w:tc>
          <w:tcPr>
            <w:tcW w:w="2127" w:type="dxa"/>
            <w:shd w:val="clear" w:color="auto" w:fill="DAEEF3"/>
          </w:tcPr>
          <w:p w14:paraId="1E033CDC" w14:textId="77777777" w:rsidR="0096786A" w:rsidRPr="00EE52D7" w:rsidRDefault="0096786A" w:rsidP="0096786A">
            <w:pPr>
              <w:spacing w:after="0" w:line="240" w:lineRule="auto"/>
            </w:pPr>
            <w:r w:rsidRPr="00EE52D7">
              <w:t>Directorate</w:t>
            </w:r>
          </w:p>
        </w:tc>
        <w:tc>
          <w:tcPr>
            <w:tcW w:w="2268" w:type="dxa"/>
            <w:gridSpan w:val="2"/>
          </w:tcPr>
          <w:p w14:paraId="7D428063" w14:textId="16D78599" w:rsidR="0096786A" w:rsidRPr="00EE52D7" w:rsidRDefault="00910E36" w:rsidP="0096786A">
            <w:pPr>
              <w:spacing w:after="0" w:line="240" w:lineRule="auto"/>
            </w:pPr>
            <w:r>
              <w:t>Unplanned</w:t>
            </w:r>
          </w:p>
        </w:tc>
        <w:tc>
          <w:tcPr>
            <w:tcW w:w="3119" w:type="dxa"/>
            <w:shd w:val="clear" w:color="auto" w:fill="DAEEF3"/>
          </w:tcPr>
          <w:p w14:paraId="7B444634" w14:textId="77777777" w:rsidR="0096786A" w:rsidRPr="00EE52D7" w:rsidRDefault="00EC6896" w:rsidP="0096786A">
            <w:pPr>
              <w:spacing w:after="0" w:line="240" w:lineRule="auto"/>
            </w:pPr>
            <w:r w:rsidRPr="00EE52D7">
              <w:t>Annual Review of Profile due</w:t>
            </w:r>
          </w:p>
        </w:tc>
        <w:tc>
          <w:tcPr>
            <w:tcW w:w="3827" w:type="dxa"/>
          </w:tcPr>
          <w:p w14:paraId="05463CFE" w14:textId="62B43B16" w:rsidR="0096786A" w:rsidRPr="00EE52D7" w:rsidRDefault="00A926AE" w:rsidP="0092315B">
            <w:pPr>
              <w:spacing w:after="0" w:line="240" w:lineRule="auto"/>
            </w:pPr>
            <w:r>
              <w:t>24/09/2025</w:t>
            </w:r>
          </w:p>
        </w:tc>
      </w:tr>
      <w:tr w:rsidR="00EC6896" w:rsidRPr="00BF092F" w14:paraId="56C00702" w14:textId="77777777" w:rsidTr="00CF49DF">
        <w:tc>
          <w:tcPr>
            <w:tcW w:w="2127" w:type="dxa"/>
            <w:shd w:val="clear" w:color="auto" w:fill="DAEEF3"/>
          </w:tcPr>
          <w:p w14:paraId="49567AE7" w14:textId="77777777" w:rsidR="00EC6896" w:rsidRPr="00EE52D7" w:rsidRDefault="00EC6896" w:rsidP="0096786A">
            <w:pPr>
              <w:spacing w:after="0" w:line="240" w:lineRule="auto"/>
            </w:pPr>
            <w:r w:rsidRPr="00EE52D7">
              <w:t>Professional Lead</w:t>
            </w:r>
          </w:p>
        </w:tc>
        <w:tc>
          <w:tcPr>
            <w:tcW w:w="2268" w:type="dxa"/>
            <w:gridSpan w:val="2"/>
          </w:tcPr>
          <w:p w14:paraId="15B5CDA8" w14:textId="0B243267" w:rsidR="0092315B" w:rsidRPr="00EE52D7" w:rsidRDefault="004B772A" w:rsidP="0096786A">
            <w:pPr>
              <w:spacing w:after="0" w:line="240" w:lineRule="auto"/>
            </w:pPr>
            <w:r>
              <w:t>Je</w:t>
            </w:r>
            <w:r w:rsidR="00E45201">
              <w:t>an</w:t>
            </w:r>
            <w:r>
              <w:t>n</w:t>
            </w:r>
            <w:r w:rsidR="002443E1">
              <w:t>i</w:t>
            </w:r>
            <w:r>
              <w:t>ne Johnson</w:t>
            </w:r>
          </w:p>
        </w:tc>
        <w:tc>
          <w:tcPr>
            <w:tcW w:w="3119" w:type="dxa"/>
            <w:shd w:val="clear" w:color="auto" w:fill="DAEEF3"/>
          </w:tcPr>
          <w:p w14:paraId="7A9F626C" w14:textId="77777777" w:rsidR="00EC6896" w:rsidRPr="00EE52D7" w:rsidRDefault="00EC6896" w:rsidP="0096786A">
            <w:pPr>
              <w:spacing w:after="0" w:line="240" w:lineRule="auto"/>
            </w:pPr>
            <w:r w:rsidRPr="00EE52D7">
              <w:t>Department Manager</w:t>
            </w:r>
          </w:p>
        </w:tc>
        <w:tc>
          <w:tcPr>
            <w:tcW w:w="3827" w:type="dxa"/>
          </w:tcPr>
          <w:p w14:paraId="4F8FB282" w14:textId="4B0CF88D" w:rsidR="0092315B" w:rsidRPr="00EE52D7" w:rsidRDefault="00A926AE" w:rsidP="0092315B">
            <w:pPr>
              <w:spacing w:after="0" w:line="240" w:lineRule="auto"/>
            </w:pPr>
            <w:r>
              <w:t>Sr Debbie Wiggins</w:t>
            </w:r>
            <w:r w:rsidR="00E45201">
              <w:t xml:space="preserve"> </w:t>
            </w:r>
            <w:hyperlink r:id="rId10" w:history="1">
              <w:r w:rsidR="00E45201" w:rsidRPr="00616F78">
                <w:rPr>
                  <w:rStyle w:val="Hyperlink"/>
                </w:rPr>
                <w:t>debbie.wiggins1@nhs.net</w:t>
              </w:r>
            </w:hyperlink>
            <w:r w:rsidR="00E45201">
              <w:t xml:space="preserve"> </w:t>
            </w:r>
          </w:p>
        </w:tc>
      </w:tr>
      <w:tr w:rsidR="0096786A" w:rsidRPr="00BF092F" w14:paraId="6BCEB46C" w14:textId="77777777" w:rsidTr="00CF49DF">
        <w:tc>
          <w:tcPr>
            <w:tcW w:w="4395" w:type="dxa"/>
            <w:gridSpan w:val="3"/>
            <w:shd w:val="clear" w:color="auto" w:fill="DAEEF3"/>
          </w:tcPr>
          <w:p w14:paraId="1FD9B324" w14:textId="7E28CE95" w:rsidR="0096786A" w:rsidRPr="00EE52D7" w:rsidRDefault="0096786A" w:rsidP="0096786A">
            <w:pPr>
              <w:spacing w:after="0" w:line="240" w:lineRule="auto"/>
            </w:pPr>
            <w:r w:rsidRPr="00EE52D7">
              <w:t>Education L</w:t>
            </w:r>
            <w:r w:rsidR="00EE52D7">
              <w:t>ink</w:t>
            </w:r>
          </w:p>
        </w:tc>
        <w:tc>
          <w:tcPr>
            <w:tcW w:w="6946" w:type="dxa"/>
            <w:gridSpan w:val="2"/>
          </w:tcPr>
          <w:p w14:paraId="7DBA36A1" w14:textId="403CA4DA" w:rsidR="00EC6896" w:rsidRPr="00EE52D7" w:rsidRDefault="004B772A" w:rsidP="0096786A">
            <w:pPr>
              <w:spacing w:after="0" w:line="240" w:lineRule="auto"/>
            </w:pPr>
            <w:r>
              <w:t xml:space="preserve">SN </w:t>
            </w:r>
            <w:r w:rsidR="00910E36">
              <w:t>Alwie Torrente</w:t>
            </w:r>
            <w:r>
              <w:t xml:space="preserve">   Samantha </w:t>
            </w:r>
            <w:proofErr w:type="spellStart"/>
            <w:r>
              <w:t>Mckeown</w:t>
            </w:r>
            <w:proofErr w:type="spellEnd"/>
            <w:r>
              <w:t xml:space="preserve"> PDF </w:t>
            </w:r>
          </w:p>
        </w:tc>
      </w:tr>
      <w:tr w:rsidR="0096786A" w:rsidRPr="00BF092F" w14:paraId="06CD0502" w14:textId="77777777" w:rsidTr="00CF49DF">
        <w:tc>
          <w:tcPr>
            <w:tcW w:w="4395" w:type="dxa"/>
            <w:gridSpan w:val="3"/>
            <w:shd w:val="clear" w:color="auto" w:fill="DAEEF3"/>
          </w:tcPr>
          <w:p w14:paraId="73EC8FD6" w14:textId="621F8817" w:rsidR="0096786A" w:rsidRPr="00EE52D7" w:rsidRDefault="0096786A" w:rsidP="0096786A">
            <w:pPr>
              <w:spacing w:after="0" w:line="240" w:lineRule="auto"/>
            </w:pPr>
            <w:r w:rsidRPr="00EE52D7">
              <w:t>Education L</w:t>
            </w:r>
            <w:r w:rsidR="00EE52D7">
              <w:t>ink</w:t>
            </w:r>
            <w:r w:rsidRPr="00EE52D7">
              <w:t xml:space="preserve"> Contact Details</w:t>
            </w:r>
          </w:p>
        </w:tc>
        <w:tc>
          <w:tcPr>
            <w:tcW w:w="6946" w:type="dxa"/>
            <w:gridSpan w:val="2"/>
          </w:tcPr>
          <w:p w14:paraId="029C16FE" w14:textId="21A3AA03" w:rsidR="0096786A" w:rsidRDefault="00CB30F7" w:rsidP="0096786A">
            <w:pPr>
              <w:spacing w:after="0" w:line="240" w:lineRule="auto"/>
            </w:pPr>
            <w:hyperlink r:id="rId11" w:history="1">
              <w:r w:rsidR="004B772A" w:rsidRPr="00616F78">
                <w:rPr>
                  <w:rStyle w:val="Hyperlink"/>
                </w:rPr>
                <w:t>alwie.torrente@nhs.net</w:t>
              </w:r>
            </w:hyperlink>
            <w:r w:rsidR="00702B9C">
              <w:t xml:space="preserve">     </w:t>
            </w:r>
            <w:r w:rsidR="004B772A">
              <w:t xml:space="preserve"> </w:t>
            </w:r>
            <w:hyperlink r:id="rId12" w:history="1">
              <w:r w:rsidR="004B772A" w:rsidRPr="00616F78">
                <w:rPr>
                  <w:rStyle w:val="Hyperlink"/>
                </w:rPr>
                <w:t>samantha.mckeown1@nhs.net</w:t>
              </w:r>
            </w:hyperlink>
          </w:p>
          <w:p w14:paraId="537A2C90" w14:textId="77777777" w:rsidR="004B772A" w:rsidRDefault="004B772A" w:rsidP="0096786A">
            <w:pPr>
              <w:spacing w:after="0" w:line="240" w:lineRule="auto"/>
            </w:pPr>
          </w:p>
          <w:p w14:paraId="7016E5AD" w14:textId="77777777" w:rsidR="00910E36" w:rsidRDefault="00910E36" w:rsidP="0096786A">
            <w:pPr>
              <w:spacing w:after="0" w:line="240" w:lineRule="auto"/>
            </w:pPr>
          </w:p>
          <w:p w14:paraId="555707A4" w14:textId="6B9597A0" w:rsidR="00910E36" w:rsidRPr="00EE52D7" w:rsidRDefault="00910E36" w:rsidP="0096786A">
            <w:pPr>
              <w:spacing w:after="0" w:line="240" w:lineRule="auto"/>
            </w:pPr>
          </w:p>
        </w:tc>
      </w:tr>
    </w:tbl>
    <w:p w14:paraId="069F982D" w14:textId="77777777" w:rsidR="0096786A" w:rsidRPr="00CF49DF" w:rsidRDefault="0096786A" w:rsidP="0096786A">
      <w:pPr>
        <w:pStyle w:val="NoSpacing"/>
        <w:rPr>
          <w:b/>
          <w:sz w:val="12"/>
          <w:szCs w:val="12"/>
          <w:u w:val="single"/>
        </w:rPr>
      </w:pPr>
    </w:p>
    <w:p w14:paraId="339DB883" w14:textId="77777777" w:rsidR="0096786A" w:rsidRPr="00D711D6" w:rsidRDefault="0096786A" w:rsidP="0096786A">
      <w:pPr>
        <w:pStyle w:val="NoSpacing"/>
        <w:rPr>
          <w:b/>
        </w:rPr>
      </w:pPr>
      <w:r>
        <w:rPr>
          <w:b/>
        </w:rPr>
        <w:t>LEARNING ENVIRONMENT PROFILE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1"/>
      </w:tblGrid>
      <w:tr w:rsidR="00EE52D7" w:rsidRPr="00BF092F" w14:paraId="6844CC76" w14:textId="77777777" w:rsidTr="00D44ABB">
        <w:tc>
          <w:tcPr>
            <w:tcW w:w="11341" w:type="dxa"/>
            <w:shd w:val="clear" w:color="auto" w:fill="DAEEF3"/>
          </w:tcPr>
          <w:p w14:paraId="58284D21" w14:textId="68571CF6" w:rsidR="00D60E1B" w:rsidRPr="00D60E1B" w:rsidRDefault="00EE52D7" w:rsidP="00EE7A75">
            <w:pPr>
              <w:spacing w:after="0" w:line="240" w:lineRule="auto"/>
            </w:pPr>
            <w:r w:rsidRPr="00D60E1B">
              <w:t xml:space="preserve">General </w:t>
            </w:r>
            <w:r w:rsidR="0058726B">
              <w:t>i</w:t>
            </w:r>
            <w:r w:rsidRPr="00D60E1B">
              <w:t>nformation about the clinical area</w:t>
            </w:r>
            <w:r w:rsidR="00D60E1B" w:rsidRPr="00D60E1B">
              <w:t xml:space="preserve">. </w:t>
            </w:r>
          </w:p>
          <w:p w14:paraId="0455BD1E" w14:textId="73AC63A4" w:rsidR="00EE52D7" w:rsidRPr="00D60E1B" w:rsidRDefault="00D60E1B" w:rsidP="00EE7A75">
            <w:pPr>
              <w:spacing w:after="0" w:line="240" w:lineRule="auto"/>
            </w:pPr>
            <w:r w:rsidRPr="00D60E1B">
              <w:t xml:space="preserve">Please include a </w:t>
            </w:r>
            <w:r w:rsidR="00EE52D7" w:rsidRPr="00D60E1B">
              <w:t>description of the service and client group and</w:t>
            </w:r>
            <w:r w:rsidR="00F71814">
              <w:t xml:space="preserve"> other</w:t>
            </w:r>
            <w:r w:rsidR="00EE52D7" w:rsidRPr="00D60E1B">
              <w:t xml:space="preserve"> professionals/ learners working within the environment</w:t>
            </w:r>
          </w:p>
        </w:tc>
      </w:tr>
      <w:tr w:rsidR="00EE52D7" w:rsidRPr="00BF092F" w14:paraId="35681F63" w14:textId="77777777" w:rsidTr="00EE52D7">
        <w:tc>
          <w:tcPr>
            <w:tcW w:w="11341" w:type="dxa"/>
            <w:shd w:val="clear" w:color="auto" w:fill="auto"/>
          </w:tcPr>
          <w:p w14:paraId="4830F4D3" w14:textId="77777777" w:rsidR="00EE52D7" w:rsidRPr="00D60E1B" w:rsidRDefault="00EE52D7" w:rsidP="00EE7A75">
            <w:pPr>
              <w:spacing w:after="0" w:line="240" w:lineRule="auto"/>
            </w:pPr>
          </w:p>
          <w:p w14:paraId="24971759" w14:textId="24DF4656" w:rsidR="004B772A" w:rsidRDefault="00CB30F7" w:rsidP="004B772A">
            <w:pPr>
              <w:pStyle w:val="Default0"/>
            </w:pPr>
            <w:hyperlink r:id="rId13" w:history="1">
              <w:r w:rsidR="00520498" w:rsidRPr="00616F78">
                <w:rPr>
                  <w:rStyle w:val="Hyperlink"/>
                  <w:rFonts w:cs="Calibri"/>
                </w:rPr>
                <w:t>http://www.iow.nhs.uk</w:t>
              </w:r>
            </w:hyperlink>
            <w:r w:rsidR="00520498">
              <w:t xml:space="preserve"> </w:t>
            </w:r>
          </w:p>
          <w:p w14:paraId="2FCFA8DB" w14:textId="77777777" w:rsidR="00520498" w:rsidRDefault="00520498" w:rsidP="004B772A">
            <w:pPr>
              <w:pStyle w:val="Default0"/>
            </w:pPr>
          </w:p>
          <w:p w14:paraId="705D750E" w14:textId="1DF27AB4" w:rsidR="00520498" w:rsidRDefault="00520498" w:rsidP="004B772A">
            <w:pPr>
              <w:pStyle w:val="Default0"/>
            </w:pPr>
            <w:r>
              <w:t xml:space="preserve">Stroke patients that are in the acute phase of the stroke pathway </w:t>
            </w:r>
            <w:proofErr w:type="gramStart"/>
            <w:r>
              <w:t>and also</w:t>
            </w:r>
            <w:proofErr w:type="gramEnd"/>
            <w:r>
              <w:t xml:space="preserve"> in the rehabilitation phase. Acute patients are admitted directly from A&amp;E to the </w:t>
            </w:r>
            <w:proofErr w:type="gramStart"/>
            <w:r>
              <w:t>HASU(</w:t>
            </w:r>
            <w:proofErr w:type="gramEnd"/>
            <w:r>
              <w:t>Hyper Acute Stroke Unit) and will stay on the unit until their stroke pathway is complete.</w:t>
            </w:r>
          </w:p>
          <w:p w14:paraId="7E973457" w14:textId="3E35F8D5" w:rsidR="00520498" w:rsidRDefault="00520498" w:rsidP="004B772A">
            <w:pPr>
              <w:pStyle w:val="Default0"/>
            </w:pPr>
            <w:r>
              <w:t>As well as patients suffering from stroke</w:t>
            </w:r>
            <w:r w:rsidR="00702B9C">
              <w:t>s</w:t>
            </w:r>
            <w:r>
              <w:t xml:space="preserve">, the </w:t>
            </w:r>
            <w:r w:rsidR="00702B9C">
              <w:t>Unit</w:t>
            </w:r>
            <w:r>
              <w:t xml:space="preserve"> also accommodates medical patients. The Stroke Unit works in partnership with the Community Rehabilitation Team </w:t>
            </w:r>
            <w:proofErr w:type="gramStart"/>
            <w:r>
              <w:t>( CRT</w:t>
            </w:r>
            <w:proofErr w:type="gramEnd"/>
            <w:r>
              <w:t>) Stroke Early Supported Discharge Team ( SESD) responsible for providing support and assessment in the home environment following discharge.</w:t>
            </w:r>
          </w:p>
          <w:p w14:paraId="5FCA5AC4" w14:textId="77777777" w:rsidR="004B772A" w:rsidRDefault="004B772A" w:rsidP="004B772A">
            <w:pPr>
              <w:pStyle w:val="Default0"/>
            </w:pPr>
          </w:p>
          <w:p w14:paraId="71CD8967" w14:textId="77777777" w:rsidR="00EE52D7" w:rsidRPr="00D60E1B" w:rsidRDefault="00EE52D7" w:rsidP="00EE7A75">
            <w:pPr>
              <w:spacing w:after="0" w:line="240" w:lineRule="auto"/>
            </w:pPr>
          </w:p>
          <w:p w14:paraId="3633387D" w14:textId="77777777" w:rsidR="004B772A" w:rsidRDefault="004B772A" w:rsidP="004B772A">
            <w:pPr>
              <w:pStyle w:val="Default0"/>
            </w:pPr>
          </w:p>
          <w:p w14:paraId="7130F811" w14:textId="0E66A92E" w:rsidR="00EE52D7" w:rsidRPr="00D60E1B" w:rsidRDefault="00EE52D7" w:rsidP="002443E1">
            <w:pPr>
              <w:tabs>
                <w:tab w:val="left" w:pos="8960"/>
              </w:tabs>
              <w:spacing w:after="0" w:line="240" w:lineRule="auto"/>
            </w:pPr>
          </w:p>
          <w:p w14:paraId="4643E2FF" w14:textId="218472B3" w:rsidR="00EE52D7" w:rsidRPr="00D60E1B" w:rsidRDefault="00EE52D7" w:rsidP="00EE7A75">
            <w:pPr>
              <w:spacing w:after="0" w:line="240" w:lineRule="auto"/>
            </w:pPr>
          </w:p>
        </w:tc>
      </w:tr>
    </w:tbl>
    <w:p w14:paraId="5E196095" w14:textId="77777777" w:rsidR="00914CDF" w:rsidRPr="00CF49DF" w:rsidRDefault="00914CDF" w:rsidP="000A5F28">
      <w:pPr>
        <w:pStyle w:val="NoSpacing"/>
        <w:rPr>
          <w:b/>
          <w:sz w:val="12"/>
          <w:szCs w:val="12"/>
        </w:rPr>
      </w:pPr>
    </w:p>
    <w:p w14:paraId="0E9B1A09" w14:textId="77777777" w:rsidR="00914CDF" w:rsidRPr="00D711D6" w:rsidRDefault="00914CDF" w:rsidP="000A5F28">
      <w:pPr>
        <w:pStyle w:val="NoSpacing"/>
        <w:rPr>
          <w:b/>
        </w:rPr>
      </w:pPr>
      <w:r w:rsidRPr="00D711D6">
        <w:rPr>
          <w:b/>
        </w:rPr>
        <w:t>LEARNER INFORMATION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9535"/>
      </w:tblGrid>
      <w:tr w:rsidR="00914CDF" w:rsidRPr="00702B9C" w14:paraId="7884B23C" w14:textId="77777777" w:rsidTr="00C42BCD">
        <w:tc>
          <w:tcPr>
            <w:tcW w:w="2411" w:type="dxa"/>
            <w:shd w:val="clear" w:color="auto" w:fill="DAEEF3"/>
          </w:tcPr>
          <w:p w14:paraId="6F427FF1" w14:textId="77777777" w:rsidR="00914CDF" w:rsidRPr="00702B9C" w:rsidRDefault="00CF49DF" w:rsidP="00C42B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>Work Pattern</w:t>
            </w:r>
            <w:r w:rsidR="00C42BCD" w:rsidRPr="00702B9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8930" w:type="dxa"/>
          </w:tcPr>
          <w:p w14:paraId="5B77029B" w14:textId="77777777" w:rsidR="00DE4878" w:rsidRPr="00DE4878" w:rsidRDefault="00DE4878" w:rsidP="00DE4878">
            <w:pPr>
              <w:pStyle w:val="Default0"/>
              <w:rPr>
                <w:rFonts w:asciiTheme="minorHAnsi" w:hAnsiTheme="minorHAnsi" w:cstheme="minorHAnsi"/>
              </w:rPr>
            </w:pPr>
            <w:r w:rsidRPr="00DE4878">
              <w:rPr>
                <w:rFonts w:asciiTheme="minorHAnsi" w:hAnsiTheme="minorHAnsi" w:cstheme="minorHAnsi"/>
              </w:rPr>
              <w:t xml:space="preserve">Early: 07.30 – 15.30, long-day: 07.30 – 20.00, late: 12.00 – 21.00 </w:t>
            </w:r>
          </w:p>
          <w:p w14:paraId="7FABCDD8" w14:textId="77777777" w:rsidR="00DE4878" w:rsidRPr="00DE4878" w:rsidRDefault="00DE4878" w:rsidP="00DE4878">
            <w:pPr>
              <w:pStyle w:val="Default0"/>
              <w:rPr>
                <w:rFonts w:asciiTheme="minorHAnsi" w:hAnsiTheme="minorHAnsi" w:cstheme="minorHAnsi"/>
              </w:rPr>
            </w:pPr>
            <w:r w:rsidRPr="00DE4878">
              <w:rPr>
                <w:rFonts w:asciiTheme="minorHAnsi" w:hAnsiTheme="minorHAnsi" w:cstheme="minorHAnsi"/>
              </w:rPr>
              <w:t xml:space="preserve">night duties 19:30 – 08.00. </w:t>
            </w:r>
          </w:p>
          <w:p w14:paraId="3DD6DBE7" w14:textId="789F6B00" w:rsidR="004B772A" w:rsidRPr="00702B9C" w:rsidRDefault="00DE4878" w:rsidP="00DE4878">
            <w:pPr>
              <w:pStyle w:val="Default0"/>
              <w:rPr>
                <w:rFonts w:asciiTheme="minorHAnsi" w:hAnsiTheme="minorHAnsi" w:cstheme="minorHAnsi"/>
              </w:rPr>
            </w:pPr>
            <w:r w:rsidRPr="00DE4878">
              <w:rPr>
                <w:rFonts w:asciiTheme="minorHAnsi" w:hAnsiTheme="minorHAnsi" w:cstheme="minorHAnsi"/>
              </w:rPr>
              <w:t xml:space="preserve">Please discuss your shifts with your Practice Assessor to ensure you </w:t>
            </w:r>
            <w:proofErr w:type="gramStart"/>
            <w:r w:rsidRPr="00DE4878">
              <w:rPr>
                <w:rFonts w:asciiTheme="minorHAnsi" w:hAnsiTheme="minorHAnsi" w:cstheme="minorHAnsi"/>
              </w:rPr>
              <w:t>are able to</w:t>
            </w:r>
            <w:proofErr w:type="gramEnd"/>
            <w:r w:rsidRPr="00DE4878">
              <w:rPr>
                <w:rFonts w:asciiTheme="minorHAnsi" w:hAnsiTheme="minorHAnsi" w:cstheme="minorHAnsi"/>
              </w:rPr>
              <w:t xml:space="preserve"> experience all the </w:t>
            </w:r>
            <w:r w:rsidR="00C57CBE">
              <w:rPr>
                <w:rFonts w:asciiTheme="minorHAnsi" w:hAnsiTheme="minorHAnsi" w:cstheme="minorHAnsi"/>
              </w:rPr>
              <w:t>Unit</w:t>
            </w:r>
            <w:r w:rsidRPr="00DE4878">
              <w:rPr>
                <w:rFonts w:asciiTheme="minorHAnsi" w:hAnsiTheme="minorHAnsi" w:cstheme="minorHAnsi"/>
              </w:rPr>
              <w:t xml:space="preserve"> has to offer.</w:t>
            </w:r>
          </w:p>
          <w:p w14:paraId="653334FD" w14:textId="77777777" w:rsidR="00244CB9" w:rsidRPr="00702B9C" w:rsidRDefault="00244CB9" w:rsidP="00586ED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5E75" w:rsidRPr="00702B9C" w14:paraId="64D41E7A" w14:textId="77777777" w:rsidTr="00C42BCD">
        <w:tc>
          <w:tcPr>
            <w:tcW w:w="2411" w:type="dxa"/>
            <w:shd w:val="clear" w:color="auto" w:fill="DAEEF3"/>
          </w:tcPr>
          <w:p w14:paraId="15B6B052" w14:textId="77777777" w:rsidR="005B5E75" w:rsidRPr="00702B9C" w:rsidRDefault="005B5E75" w:rsidP="005B5E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>Dress Code</w:t>
            </w:r>
          </w:p>
        </w:tc>
        <w:tc>
          <w:tcPr>
            <w:tcW w:w="8930" w:type="dxa"/>
          </w:tcPr>
          <w:p w14:paraId="053ED5B3" w14:textId="77777777" w:rsidR="005B5E75" w:rsidRPr="00702B9C" w:rsidRDefault="005B5E75" w:rsidP="005B5E7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 xml:space="preserve">University photo ID to be </w:t>
            </w:r>
            <w:proofErr w:type="gramStart"/>
            <w:r w:rsidRPr="00702B9C">
              <w:rPr>
                <w:rFonts w:asciiTheme="minorHAnsi" w:hAnsiTheme="minorHAnsi" w:cstheme="minorHAnsi"/>
                <w:sz w:val="24"/>
                <w:szCs w:val="24"/>
              </w:rPr>
              <w:t>worn at all times</w:t>
            </w:r>
            <w:proofErr w:type="gramEnd"/>
            <w:r w:rsidRPr="00702B9C">
              <w:rPr>
                <w:rFonts w:asciiTheme="minorHAnsi" w:hAnsiTheme="minorHAnsi" w:cstheme="minorHAnsi"/>
                <w:sz w:val="24"/>
                <w:szCs w:val="24"/>
              </w:rPr>
              <w:t xml:space="preserve"> on placement.</w:t>
            </w:r>
          </w:p>
          <w:p w14:paraId="1C96EB78" w14:textId="79F24C49" w:rsidR="005B5E75" w:rsidRPr="00702B9C" w:rsidRDefault="005B5E75" w:rsidP="005B5E7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 xml:space="preserve">Student uniform in conjunction with IOW NHS Trust dress code policy: </w:t>
            </w:r>
            <w:hyperlink r:id="rId14" w:history="1">
              <w:r w:rsidR="00173B24" w:rsidRPr="00702B9C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https://www.iow.nhs.uk/Downloads/Policies/Dress%20Code%20and%20Uniform%20policy.pdf</w:t>
              </w:r>
            </w:hyperlink>
            <w:r w:rsidR="00173B24" w:rsidRPr="00702B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B5E75" w:rsidRPr="00702B9C" w14:paraId="3C6E2E5C" w14:textId="77777777" w:rsidTr="00C42BCD">
        <w:tc>
          <w:tcPr>
            <w:tcW w:w="2411" w:type="dxa"/>
            <w:shd w:val="clear" w:color="auto" w:fill="DAEEF3"/>
          </w:tcPr>
          <w:p w14:paraId="38A21DE4" w14:textId="77777777" w:rsidR="005B5E75" w:rsidRPr="00702B9C" w:rsidRDefault="005B5E75" w:rsidP="005B5E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>Induction/Orientation programme</w:t>
            </w:r>
          </w:p>
        </w:tc>
        <w:tc>
          <w:tcPr>
            <w:tcW w:w="8930" w:type="dxa"/>
          </w:tcPr>
          <w:p w14:paraId="3E617910" w14:textId="45C79113" w:rsidR="005B5E75" w:rsidRPr="00702B9C" w:rsidRDefault="005B5E75" w:rsidP="005B5E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>Trust induction provided by the Clinical Education Team followed by a local induction within the department.</w:t>
            </w:r>
          </w:p>
        </w:tc>
      </w:tr>
      <w:tr w:rsidR="005B5E75" w:rsidRPr="00702B9C" w14:paraId="421169D4" w14:textId="77777777" w:rsidTr="00C42BCD">
        <w:tc>
          <w:tcPr>
            <w:tcW w:w="2411" w:type="dxa"/>
            <w:shd w:val="clear" w:color="auto" w:fill="DAEEF3"/>
          </w:tcPr>
          <w:p w14:paraId="69F54733" w14:textId="721CAE6B" w:rsidR="005B5E75" w:rsidRPr="00702B9C" w:rsidRDefault="005B5E75" w:rsidP="005B5E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>Staff/rest room facilities</w:t>
            </w:r>
          </w:p>
        </w:tc>
        <w:tc>
          <w:tcPr>
            <w:tcW w:w="8930" w:type="dxa"/>
          </w:tcPr>
          <w:p w14:paraId="1F714473" w14:textId="3BF1C885" w:rsidR="00B92EDE" w:rsidRPr="00702B9C" w:rsidRDefault="00151794" w:rsidP="00B92EDE">
            <w:pPr>
              <w:pStyle w:val="Default0"/>
              <w:rPr>
                <w:rFonts w:asciiTheme="minorHAnsi" w:hAnsiTheme="minorHAnsi" w:cstheme="minorHAnsi"/>
              </w:rPr>
            </w:pPr>
            <w:r w:rsidRPr="00702B9C">
              <w:rPr>
                <w:rFonts w:asciiTheme="minorHAnsi" w:hAnsiTheme="minorHAnsi" w:cstheme="minorHAnsi"/>
              </w:rPr>
              <w:t>Staff room available but please bring your own Tea and Coffee.</w:t>
            </w:r>
          </w:p>
          <w:p w14:paraId="01B9702F" w14:textId="77777777" w:rsidR="005B5E75" w:rsidRPr="00702B9C" w:rsidRDefault="005B5E75" w:rsidP="005B5E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5E75" w:rsidRPr="00702B9C" w14:paraId="2CC447E1" w14:textId="77777777" w:rsidTr="00C42BCD">
        <w:tc>
          <w:tcPr>
            <w:tcW w:w="2411" w:type="dxa"/>
            <w:shd w:val="clear" w:color="auto" w:fill="DAEEF3"/>
          </w:tcPr>
          <w:p w14:paraId="3115D10C" w14:textId="77777777" w:rsidR="005B5E75" w:rsidRPr="00702B9C" w:rsidRDefault="005B5E75" w:rsidP="005B5E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>Expectations during placement</w:t>
            </w:r>
          </w:p>
        </w:tc>
        <w:tc>
          <w:tcPr>
            <w:tcW w:w="8930" w:type="dxa"/>
          </w:tcPr>
          <w:p w14:paraId="5412F4BC" w14:textId="5ED97ED0" w:rsidR="00DE4878" w:rsidRPr="00DE4878" w:rsidRDefault="00DE4878" w:rsidP="00DE4878">
            <w:pPr>
              <w:pStyle w:val="Default0"/>
              <w:rPr>
                <w:rFonts w:asciiTheme="minorHAnsi" w:hAnsiTheme="minorHAnsi" w:cstheme="minorHAnsi"/>
              </w:rPr>
            </w:pPr>
            <w:r w:rsidRPr="00DE4878">
              <w:rPr>
                <w:rFonts w:asciiTheme="minorHAnsi" w:hAnsiTheme="minorHAnsi" w:cstheme="minorHAnsi"/>
              </w:rPr>
              <w:t xml:space="preserve">Learners are expected to engage and be involved with all </w:t>
            </w:r>
            <w:proofErr w:type="gramStart"/>
            <w:r w:rsidRPr="00DE4878">
              <w:rPr>
                <w:rFonts w:asciiTheme="minorHAnsi" w:hAnsiTheme="minorHAnsi" w:cstheme="minorHAnsi"/>
              </w:rPr>
              <w:t>ward</w:t>
            </w:r>
            <w:r w:rsidR="00C57CBE">
              <w:rPr>
                <w:rFonts w:asciiTheme="minorHAnsi" w:hAnsiTheme="minorHAnsi" w:cstheme="minorHAnsi"/>
              </w:rPr>
              <w:t xml:space="preserve"> </w:t>
            </w:r>
            <w:r w:rsidRPr="00DE4878">
              <w:rPr>
                <w:rFonts w:asciiTheme="minorHAnsi" w:hAnsiTheme="minorHAnsi" w:cstheme="minorHAnsi"/>
              </w:rPr>
              <w:t>based</w:t>
            </w:r>
            <w:proofErr w:type="gramEnd"/>
            <w:r w:rsidRPr="00DE4878">
              <w:rPr>
                <w:rFonts w:asciiTheme="minorHAnsi" w:hAnsiTheme="minorHAnsi" w:cstheme="minorHAnsi"/>
              </w:rPr>
              <w:t xml:space="preserve"> activities, depending on their level of experience, training and knowledge. Learners are expected to </w:t>
            </w:r>
            <w:proofErr w:type="gramStart"/>
            <w:r w:rsidRPr="00DE4878">
              <w:rPr>
                <w:rFonts w:asciiTheme="minorHAnsi" w:hAnsiTheme="minorHAnsi" w:cstheme="minorHAnsi"/>
              </w:rPr>
              <w:t>act professionally at all times</w:t>
            </w:r>
            <w:proofErr w:type="gramEnd"/>
            <w:r w:rsidRPr="00DE4878">
              <w:rPr>
                <w:rFonts w:asciiTheme="minorHAnsi" w:hAnsiTheme="minorHAnsi" w:cstheme="minorHAnsi"/>
              </w:rPr>
              <w:t xml:space="preserve"> and adhere to professional and organisational standards such as equality and diversity. It is expected that the learner raises concerns and good practice to the ward sister.  </w:t>
            </w:r>
            <w:r w:rsidR="00C57CBE">
              <w:rPr>
                <w:rFonts w:asciiTheme="minorHAnsi" w:hAnsiTheme="minorHAnsi" w:cstheme="minorHAnsi"/>
              </w:rPr>
              <w:t>(</w:t>
            </w:r>
            <w:r w:rsidRPr="00DE4878">
              <w:rPr>
                <w:rFonts w:asciiTheme="minorHAnsi" w:hAnsiTheme="minorHAnsi" w:cstheme="minorHAnsi"/>
              </w:rPr>
              <w:t>Feedback given to CET to share with Unit</w:t>
            </w:r>
            <w:r w:rsidR="00C57CBE">
              <w:rPr>
                <w:rFonts w:asciiTheme="minorHAnsi" w:hAnsiTheme="minorHAnsi" w:cstheme="minorHAnsi"/>
              </w:rPr>
              <w:t>-</w:t>
            </w:r>
            <w:r w:rsidRPr="00DE4878">
              <w:rPr>
                <w:rFonts w:asciiTheme="minorHAnsi" w:hAnsiTheme="minorHAnsi" w:cstheme="minorHAnsi"/>
              </w:rPr>
              <w:t xml:space="preserve"> Pink F</w:t>
            </w:r>
            <w:r w:rsidR="00AE620C">
              <w:rPr>
                <w:rFonts w:asciiTheme="minorHAnsi" w:hAnsiTheme="minorHAnsi" w:cstheme="minorHAnsi"/>
              </w:rPr>
              <w:t>l</w:t>
            </w:r>
            <w:r w:rsidRPr="00DE4878">
              <w:rPr>
                <w:rFonts w:asciiTheme="minorHAnsi" w:hAnsiTheme="minorHAnsi" w:cstheme="minorHAnsi"/>
              </w:rPr>
              <w:t xml:space="preserve">ag to raise concerns) </w:t>
            </w:r>
          </w:p>
          <w:p w14:paraId="7643C3FC" w14:textId="77777777" w:rsidR="00DE4878" w:rsidRPr="00DE4878" w:rsidRDefault="00DE4878" w:rsidP="00DE4878">
            <w:pPr>
              <w:pStyle w:val="Default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4878">
              <w:rPr>
                <w:rFonts w:asciiTheme="minorHAnsi" w:hAnsiTheme="minorHAnsi" w:cstheme="minorHAnsi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0C285C6" wp14:editId="6192ADB5">
                  <wp:simplePos x="0" y="0"/>
                  <wp:positionH relativeFrom="column">
                    <wp:posOffset>-450850</wp:posOffset>
                  </wp:positionH>
                  <wp:positionV relativeFrom="paragraph">
                    <wp:posOffset>53975</wp:posOffset>
                  </wp:positionV>
                  <wp:extent cx="455295" cy="455295"/>
                  <wp:effectExtent l="0" t="0" r="0" b="1905"/>
                  <wp:wrapSquare wrapText="bothSides"/>
                  <wp:docPr id="1688859598" name="Picture 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45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4878">
              <w:rPr>
                <w:rFonts w:asciiTheme="minorHAnsi" w:hAnsiTheme="minorHAnsi" w:cstheme="minorHAnsi"/>
                <w:b/>
                <w:bCs/>
                <w:lang w:val="en-US"/>
              </w:rPr>
              <w:t>Pink Flag – Supporting and protecting the student experience across the IoW NHS Trust</w:t>
            </w:r>
            <w:r w:rsidRPr="00DE4878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531EDC1C" wp14:editId="61EEF277">
                  <wp:simplePos x="0" y="0"/>
                  <wp:positionH relativeFrom="column">
                    <wp:align>left</wp:align>
                  </wp:positionH>
                  <wp:positionV relativeFrom="paragraph">
                    <wp:posOffset>-146685</wp:posOffset>
                  </wp:positionV>
                  <wp:extent cx="760095" cy="713105"/>
                  <wp:effectExtent l="0" t="0" r="1905" b="0"/>
                  <wp:wrapSquare wrapText="bothSides"/>
                  <wp:docPr id="1791864423" name="Picture 2" descr="A qr code on a blu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qr code on a blu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9" t="15813" r="15254" b="13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F375BF" w14:textId="77777777" w:rsidR="004B772A" w:rsidRDefault="004B772A" w:rsidP="004B772A">
            <w:pPr>
              <w:pStyle w:val="Default0"/>
              <w:rPr>
                <w:rFonts w:asciiTheme="minorHAnsi" w:hAnsiTheme="minorHAnsi" w:cstheme="minorHAnsi"/>
              </w:rPr>
            </w:pPr>
          </w:p>
          <w:p w14:paraId="5885685A" w14:textId="77777777" w:rsidR="00DE4878" w:rsidRPr="00702B9C" w:rsidRDefault="00DE4878" w:rsidP="004B772A">
            <w:pPr>
              <w:pStyle w:val="Default0"/>
              <w:rPr>
                <w:rFonts w:asciiTheme="minorHAnsi" w:hAnsiTheme="minorHAnsi" w:cstheme="minorHAnsi"/>
              </w:rPr>
            </w:pPr>
          </w:p>
          <w:p w14:paraId="2D017A79" w14:textId="77777777" w:rsidR="005B5E75" w:rsidRPr="00702B9C" w:rsidRDefault="005B5E75" w:rsidP="005B5E7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064701" w14:textId="77777777" w:rsidR="00590FFB" w:rsidRPr="00702B9C" w:rsidRDefault="00590FFB" w:rsidP="00590FFB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8DE90AE" w14:textId="77777777" w:rsidR="00506427" w:rsidRPr="00702B9C" w:rsidRDefault="00EB2B64" w:rsidP="00590FFB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702B9C">
        <w:rPr>
          <w:rFonts w:asciiTheme="minorHAnsi" w:hAnsiTheme="minorHAnsi" w:cstheme="minorHAnsi"/>
          <w:b/>
          <w:sz w:val="24"/>
          <w:szCs w:val="24"/>
        </w:rPr>
        <w:t>LEARNING OPPORTUNITIES</w:t>
      </w:r>
      <w:r w:rsidR="00C173DA" w:rsidRPr="00702B9C">
        <w:rPr>
          <w:rFonts w:asciiTheme="minorHAnsi" w:hAnsiTheme="minorHAnsi" w:cstheme="minorHAnsi"/>
          <w:b/>
          <w:sz w:val="24"/>
          <w:szCs w:val="24"/>
        </w:rPr>
        <w:t xml:space="preserve"> &amp; RESOURCES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1"/>
      </w:tblGrid>
      <w:tr w:rsidR="00EE52D7" w:rsidRPr="00702B9C" w14:paraId="4F0AF178" w14:textId="77777777" w:rsidTr="00637D02">
        <w:tc>
          <w:tcPr>
            <w:tcW w:w="11341" w:type="dxa"/>
            <w:shd w:val="clear" w:color="auto" w:fill="DAEEF3"/>
          </w:tcPr>
          <w:p w14:paraId="5BC27B8F" w14:textId="482D1722" w:rsidR="00EE52D7" w:rsidRPr="00702B9C" w:rsidRDefault="00EE52D7" w:rsidP="00EB2B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>Specific learning opportunities</w:t>
            </w:r>
            <w:r w:rsidR="005B5E75" w:rsidRPr="00702B9C">
              <w:rPr>
                <w:rFonts w:asciiTheme="minorHAnsi" w:hAnsiTheme="minorHAnsi" w:cstheme="minorHAnsi"/>
                <w:sz w:val="24"/>
                <w:szCs w:val="24"/>
              </w:rPr>
              <w:t xml:space="preserve"> within this clinical setting, including areas of expertise, common assessments, interventions, care pathways and clinical skills</w:t>
            </w:r>
            <w:r w:rsidR="00173B24" w:rsidRPr="00702B9C">
              <w:rPr>
                <w:rFonts w:asciiTheme="minorHAnsi" w:hAnsiTheme="minorHAnsi" w:cstheme="minorHAnsi"/>
                <w:sz w:val="24"/>
                <w:szCs w:val="24"/>
              </w:rPr>
              <w:t xml:space="preserve"> etc. </w:t>
            </w:r>
          </w:p>
        </w:tc>
      </w:tr>
      <w:tr w:rsidR="005B5E75" w:rsidRPr="00702B9C" w14:paraId="39830AEF" w14:textId="77777777" w:rsidTr="005B5E75">
        <w:tc>
          <w:tcPr>
            <w:tcW w:w="11341" w:type="dxa"/>
            <w:shd w:val="clear" w:color="auto" w:fill="auto"/>
          </w:tcPr>
          <w:p w14:paraId="37F39621" w14:textId="7E38908D" w:rsidR="00E45201" w:rsidRPr="00702B9C" w:rsidRDefault="002443E1" w:rsidP="00EB2B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>Interdisciplinary team working practices</w:t>
            </w:r>
            <w:r w:rsidR="00E45201" w:rsidRPr="00702B9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0F34C502" w14:textId="77777777" w:rsidR="00C57CBE" w:rsidRDefault="00E45201" w:rsidP="00E45201">
            <w:pPr>
              <w:pStyle w:val="Default0"/>
              <w:rPr>
                <w:rFonts w:asciiTheme="minorHAnsi" w:hAnsiTheme="minorHAnsi" w:cstheme="minorHAnsi"/>
              </w:rPr>
            </w:pPr>
            <w:r w:rsidRPr="00702B9C">
              <w:rPr>
                <w:rFonts w:asciiTheme="minorHAnsi" w:hAnsiTheme="minorHAnsi" w:cstheme="minorHAnsi"/>
              </w:rPr>
              <w:t xml:space="preserve">Multi-disciplinary staffing – Nurses; Specialist nurses; Healthcare Assistants; Doctors; Allied Health </w:t>
            </w:r>
            <w:proofErr w:type="gramStart"/>
            <w:r w:rsidRPr="00702B9C">
              <w:rPr>
                <w:rFonts w:asciiTheme="minorHAnsi" w:hAnsiTheme="minorHAnsi" w:cstheme="minorHAnsi"/>
              </w:rPr>
              <w:t>Professionals:-</w:t>
            </w:r>
            <w:proofErr w:type="gramEnd"/>
            <w:r w:rsidRPr="00702B9C">
              <w:rPr>
                <w:rFonts w:asciiTheme="minorHAnsi" w:hAnsiTheme="minorHAnsi" w:cstheme="minorHAnsi"/>
              </w:rPr>
              <w:t xml:space="preserve"> Occupational Therapists; Physiotherapists, Speech and language therapist and dieticians </w:t>
            </w:r>
            <w:r w:rsidR="002443E1" w:rsidRPr="00702B9C">
              <w:rPr>
                <w:rFonts w:asciiTheme="minorHAnsi" w:hAnsiTheme="minorHAnsi" w:cstheme="minorHAnsi"/>
              </w:rPr>
              <w:t xml:space="preserve"> consultant ward rounds; activity co-ordinator;</w:t>
            </w:r>
          </w:p>
          <w:p w14:paraId="3D58CB0D" w14:textId="789207FE" w:rsidR="00E45201" w:rsidRPr="00702B9C" w:rsidRDefault="00C57CBE" w:rsidP="00E45201">
            <w:pPr>
              <w:pStyle w:val="Default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2443E1" w:rsidRPr="00702B9C">
              <w:rPr>
                <w:rFonts w:asciiTheme="minorHAnsi" w:hAnsiTheme="minorHAnsi" w:cstheme="minorHAnsi"/>
              </w:rPr>
              <w:t>rug rounds and medicines management, together with Clinical skills; therapy assessments and swallowing assessments.</w:t>
            </w:r>
          </w:p>
          <w:p w14:paraId="0D2F8F9D" w14:textId="33705531" w:rsidR="00E45201" w:rsidRPr="00702B9C" w:rsidRDefault="00E45201" w:rsidP="00E45201">
            <w:pPr>
              <w:pStyle w:val="Default0"/>
              <w:rPr>
                <w:rFonts w:asciiTheme="minorHAnsi" w:hAnsiTheme="minorHAnsi" w:cstheme="minorHAnsi"/>
              </w:rPr>
            </w:pPr>
            <w:r w:rsidRPr="00702B9C">
              <w:rPr>
                <w:rFonts w:asciiTheme="minorHAnsi" w:hAnsiTheme="minorHAnsi" w:cstheme="minorHAnsi"/>
              </w:rPr>
              <w:t>Enteral feeding via</w:t>
            </w:r>
            <w:r w:rsidR="00C57CBE">
              <w:rPr>
                <w:rFonts w:asciiTheme="minorHAnsi" w:hAnsiTheme="minorHAnsi" w:cstheme="minorHAnsi"/>
              </w:rPr>
              <w:t xml:space="preserve"> Nasal Gastric/ Percutaneous Endoscopic Gastrostomy -</w:t>
            </w:r>
            <w:r w:rsidRPr="00702B9C">
              <w:rPr>
                <w:rFonts w:asciiTheme="minorHAnsi" w:hAnsiTheme="minorHAnsi" w:cstheme="minorHAnsi"/>
              </w:rPr>
              <w:t xml:space="preserve"> NG/PEG; hand hygiene promotion; Interdisciplinary team meetings; therapy days; rehabilitation; Stroke Early Supported Discharge Team, Discharge planning. Opportunities to develop knowledge and skills in the Hyper Acute Stroke Unit (HASU) </w:t>
            </w:r>
          </w:p>
          <w:p w14:paraId="155D7F4D" w14:textId="77777777" w:rsidR="00E45201" w:rsidRPr="00702B9C" w:rsidRDefault="00E45201" w:rsidP="00E45201">
            <w:pPr>
              <w:pStyle w:val="Default0"/>
              <w:rPr>
                <w:rFonts w:asciiTheme="minorHAnsi" w:hAnsiTheme="minorHAnsi" w:cstheme="minorHAnsi"/>
              </w:rPr>
            </w:pPr>
            <w:r w:rsidRPr="00702B9C">
              <w:rPr>
                <w:rFonts w:asciiTheme="minorHAnsi" w:hAnsiTheme="minorHAnsi" w:cstheme="minorHAnsi"/>
              </w:rPr>
              <w:t xml:space="preserve">Endoscopy for insertion of PEGs, radiography for diagnostic scans. </w:t>
            </w:r>
          </w:p>
          <w:p w14:paraId="0B4FD598" w14:textId="1B569FBE" w:rsidR="00E45201" w:rsidRPr="00702B9C" w:rsidRDefault="00E45201" w:rsidP="00E45201">
            <w:pPr>
              <w:pStyle w:val="Default0"/>
              <w:rPr>
                <w:rFonts w:asciiTheme="minorHAnsi" w:hAnsiTheme="minorHAnsi" w:cstheme="minorHAnsi"/>
              </w:rPr>
            </w:pPr>
            <w:r w:rsidRPr="00702B9C">
              <w:rPr>
                <w:rFonts w:asciiTheme="minorHAnsi" w:hAnsiTheme="minorHAnsi" w:cstheme="minorHAnsi"/>
              </w:rPr>
              <w:t xml:space="preserve">Close working with Stroke Early Supported Discharge Team (SESD) and ability to spend time with SESD, including rehab, physiotherapy, community nursing and occupational therapy staff. </w:t>
            </w:r>
          </w:p>
          <w:p w14:paraId="25380C68" w14:textId="77777777" w:rsidR="00E45201" w:rsidRPr="00702B9C" w:rsidRDefault="00E45201" w:rsidP="00E45201">
            <w:pPr>
              <w:pStyle w:val="Default0"/>
              <w:rPr>
                <w:rFonts w:asciiTheme="minorHAnsi" w:hAnsiTheme="minorHAnsi" w:cstheme="minorHAnsi"/>
              </w:rPr>
            </w:pPr>
          </w:p>
          <w:p w14:paraId="231CC8BB" w14:textId="52345975" w:rsidR="005B5E75" w:rsidRPr="00702B9C" w:rsidRDefault="005B5E75" w:rsidP="00EB2B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EE9837" w14:textId="77777777" w:rsidR="00B92EDE" w:rsidRPr="00702B9C" w:rsidRDefault="00B92EDE" w:rsidP="00B92EDE">
            <w:pPr>
              <w:pStyle w:val="Default0"/>
              <w:rPr>
                <w:rFonts w:asciiTheme="minorHAnsi" w:hAnsiTheme="minorHAnsi" w:cstheme="minorHAnsi"/>
              </w:rPr>
            </w:pPr>
          </w:p>
          <w:p w14:paraId="12FFACDF" w14:textId="77777777" w:rsidR="005B5E75" w:rsidRPr="00702B9C" w:rsidRDefault="005B5E75" w:rsidP="00EB2B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1F3BC6" w14:textId="77777777" w:rsidR="005B5E75" w:rsidRPr="00702B9C" w:rsidRDefault="005B5E75" w:rsidP="00EB2B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303C38" w14:textId="7597AEF1" w:rsidR="005B5E75" w:rsidRPr="00702B9C" w:rsidRDefault="005B5E75" w:rsidP="00EB2B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5E75" w:rsidRPr="00702B9C" w14:paraId="63DC82CC" w14:textId="77777777" w:rsidTr="00695513">
        <w:tc>
          <w:tcPr>
            <w:tcW w:w="11341" w:type="dxa"/>
            <w:shd w:val="clear" w:color="auto" w:fill="DAEEF3"/>
          </w:tcPr>
          <w:p w14:paraId="1400201C" w14:textId="0D42B7A8" w:rsidR="005B5E75" w:rsidRPr="00702B9C" w:rsidRDefault="005B5E75" w:rsidP="00EB2B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02B9C">
              <w:rPr>
                <w:rFonts w:asciiTheme="minorHAnsi" w:hAnsiTheme="minorHAnsi" w:cstheme="minorHAnsi"/>
                <w:sz w:val="24"/>
                <w:szCs w:val="24"/>
              </w:rPr>
              <w:t xml:space="preserve">Recommended reading/Websites and common abbreviations </w:t>
            </w:r>
            <w:r w:rsidR="00D60E1B" w:rsidRPr="00702B9C">
              <w:rPr>
                <w:rFonts w:asciiTheme="minorHAnsi" w:hAnsiTheme="minorHAnsi" w:cstheme="minorHAnsi"/>
                <w:sz w:val="24"/>
                <w:szCs w:val="24"/>
              </w:rPr>
              <w:t xml:space="preserve">to review ahead of starting on placement </w:t>
            </w:r>
          </w:p>
        </w:tc>
      </w:tr>
    </w:tbl>
    <w:p w14:paraId="1AE07D79" w14:textId="313A47BA" w:rsidR="00EE52D7" w:rsidRPr="00EE52D7" w:rsidRDefault="00EE52D7" w:rsidP="00EE52D7">
      <w:pPr>
        <w:tabs>
          <w:tab w:val="left" w:pos="9191"/>
        </w:tabs>
      </w:pPr>
      <w:r>
        <w:tab/>
      </w:r>
    </w:p>
    <w:sectPr w:rsidR="00EE52D7" w:rsidRPr="00EE52D7" w:rsidSect="000B27B6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F766" w14:textId="77777777" w:rsidR="003D0799" w:rsidRDefault="003D0799" w:rsidP="003E6E1C">
      <w:pPr>
        <w:spacing w:after="0" w:line="240" w:lineRule="auto"/>
      </w:pPr>
      <w:r>
        <w:separator/>
      </w:r>
    </w:p>
  </w:endnote>
  <w:endnote w:type="continuationSeparator" w:id="0">
    <w:p w14:paraId="01DEB985" w14:textId="77777777" w:rsidR="003D0799" w:rsidRDefault="003D0799" w:rsidP="003E6E1C">
      <w:pPr>
        <w:spacing w:after="0" w:line="240" w:lineRule="auto"/>
      </w:pPr>
      <w:r>
        <w:continuationSeparator/>
      </w:r>
    </w:p>
  </w:endnote>
  <w:endnote w:type="continuationNotice" w:id="1">
    <w:p w14:paraId="4D531229" w14:textId="77777777" w:rsidR="00700A8E" w:rsidRDefault="00700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ADB6" w14:textId="5F61AE15" w:rsidR="00CF49DF" w:rsidRDefault="00CF49DF">
    <w:pPr>
      <w:pStyle w:val="Footer"/>
    </w:pPr>
    <w:r>
      <w:t xml:space="preserve">All relevant policies and procedures relevant to the learning environment can be accessed via the </w:t>
    </w:r>
    <w:r w:rsidR="00EE52D7">
      <w:t xml:space="preserve">Trusts </w:t>
    </w:r>
    <w:r>
      <w:t>Intranet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D69F" w14:textId="77777777" w:rsidR="003D0799" w:rsidRDefault="003D0799" w:rsidP="003E6E1C">
      <w:pPr>
        <w:spacing w:after="0" w:line="240" w:lineRule="auto"/>
      </w:pPr>
      <w:r>
        <w:separator/>
      </w:r>
    </w:p>
  </w:footnote>
  <w:footnote w:type="continuationSeparator" w:id="0">
    <w:p w14:paraId="060377E4" w14:textId="77777777" w:rsidR="003D0799" w:rsidRDefault="003D0799" w:rsidP="003E6E1C">
      <w:pPr>
        <w:spacing w:after="0" w:line="240" w:lineRule="auto"/>
      </w:pPr>
      <w:r>
        <w:continuationSeparator/>
      </w:r>
    </w:p>
  </w:footnote>
  <w:footnote w:type="continuationNotice" w:id="1">
    <w:p w14:paraId="234F1535" w14:textId="77777777" w:rsidR="00700A8E" w:rsidRDefault="00700A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BD3C" w14:textId="73A40248" w:rsidR="00EE52D7" w:rsidRDefault="00EE52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87931" wp14:editId="41FF645D">
          <wp:simplePos x="0" y="0"/>
          <wp:positionH relativeFrom="column">
            <wp:posOffset>5330190</wp:posOffset>
          </wp:positionH>
          <wp:positionV relativeFrom="paragraph">
            <wp:posOffset>-441960</wp:posOffset>
          </wp:positionV>
          <wp:extent cx="1756410" cy="651510"/>
          <wp:effectExtent l="0" t="0" r="0" b="0"/>
          <wp:wrapTight wrapText="bothSides">
            <wp:wrapPolygon edited="0">
              <wp:start x="17570" y="0"/>
              <wp:lineTo x="4685" y="632"/>
              <wp:lineTo x="4685" y="10105"/>
              <wp:lineTo x="0" y="10105"/>
              <wp:lineTo x="0" y="15789"/>
              <wp:lineTo x="5388" y="20211"/>
              <wp:lineTo x="5388" y="20842"/>
              <wp:lineTo x="16633" y="20842"/>
              <wp:lineTo x="19679" y="20842"/>
              <wp:lineTo x="20148" y="20211"/>
              <wp:lineTo x="21319" y="16421"/>
              <wp:lineTo x="21319" y="1263"/>
              <wp:lineTo x="18976" y="0"/>
              <wp:lineTo x="1757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65F"/>
    <w:multiLevelType w:val="hybridMultilevel"/>
    <w:tmpl w:val="D042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B6"/>
    <w:rsid w:val="000A5F28"/>
    <w:rsid w:val="000B27B6"/>
    <w:rsid w:val="000C2092"/>
    <w:rsid w:val="000C5E1A"/>
    <w:rsid w:val="000F6313"/>
    <w:rsid w:val="00104CB1"/>
    <w:rsid w:val="001510A8"/>
    <w:rsid w:val="00151794"/>
    <w:rsid w:val="00171024"/>
    <w:rsid w:val="00173B24"/>
    <w:rsid w:val="002443E1"/>
    <w:rsid w:val="00244CB9"/>
    <w:rsid w:val="00262D42"/>
    <w:rsid w:val="00266172"/>
    <w:rsid w:val="002D732B"/>
    <w:rsid w:val="002E44BE"/>
    <w:rsid w:val="003547D3"/>
    <w:rsid w:val="003B6876"/>
    <w:rsid w:val="003B79B8"/>
    <w:rsid w:val="003C1F1D"/>
    <w:rsid w:val="003C78AD"/>
    <w:rsid w:val="003D0799"/>
    <w:rsid w:val="003E6E1C"/>
    <w:rsid w:val="004B772A"/>
    <w:rsid w:val="004C5EE6"/>
    <w:rsid w:val="00506427"/>
    <w:rsid w:val="0051187E"/>
    <w:rsid w:val="00520498"/>
    <w:rsid w:val="00535DE8"/>
    <w:rsid w:val="00556ECC"/>
    <w:rsid w:val="00586ED4"/>
    <w:rsid w:val="0058726B"/>
    <w:rsid w:val="00590FFB"/>
    <w:rsid w:val="005B5E75"/>
    <w:rsid w:val="005E12E1"/>
    <w:rsid w:val="006657CE"/>
    <w:rsid w:val="006F3B10"/>
    <w:rsid w:val="00700A8E"/>
    <w:rsid w:val="00702B9C"/>
    <w:rsid w:val="007177F9"/>
    <w:rsid w:val="00723195"/>
    <w:rsid w:val="00734700"/>
    <w:rsid w:val="007625A6"/>
    <w:rsid w:val="007D617E"/>
    <w:rsid w:val="0086052A"/>
    <w:rsid w:val="008758DF"/>
    <w:rsid w:val="008A0998"/>
    <w:rsid w:val="008A4737"/>
    <w:rsid w:val="008C1F08"/>
    <w:rsid w:val="00910E36"/>
    <w:rsid w:val="00914CDF"/>
    <w:rsid w:val="0092315B"/>
    <w:rsid w:val="00944632"/>
    <w:rsid w:val="0096786A"/>
    <w:rsid w:val="00971F39"/>
    <w:rsid w:val="009B70A3"/>
    <w:rsid w:val="009F0D21"/>
    <w:rsid w:val="00A12416"/>
    <w:rsid w:val="00A26644"/>
    <w:rsid w:val="00A3197F"/>
    <w:rsid w:val="00A34887"/>
    <w:rsid w:val="00A61F1F"/>
    <w:rsid w:val="00A62444"/>
    <w:rsid w:val="00A926AE"/>
    <w:rsid w:val="00AD685E"/>
    <w:rsid w:val="00AE620C"/>
    <w:rsid w:val="00B056D8"/>
    <w:rsid w:val="00B36B7D"/>
    <w:rsid w:val="00B75298"/>
    <w:rsid w:val="00B868B1"/>
    <w:rsid w:val="00B92EDE"/>
    <w:rsid w:val="00BA3BF6"/>
    <w:rsid w:val="00BD00C9"/>
    <w:rsid w:val="00BF092F"/>
    <w:rsid w:val="00C173DA"/>
    <w:rsid w:val="00C227C8"/>
    <w:rsid w:val="00C42BCD"/>
    <w:rsid w:val="00C54594"/>
    <w:rsid w:val="00C57CBE"/>
    <w:rsid w:val="00CA14B4"/>
    <w:rsid w:val="00CB30F7"/>
    <w:rsid w:val="00CF49DF"/>
    <w:rsid w:val="00D04ADA"/>
    <w:rsid w:val="00D60E1B"/>
    <w:rsid w:val="00D711D6"/>
    <w:rsid w:val="00DA4834"/>
    <w:rsid w:val="00DC780C"/>
    <w:rsid w:val="00DE4878"/>
    <w:rsid w:val="00DE7F90"/>
    <w:rsid w:val="00E144AA"/>
    <w:rsid w:val="00E20A7B"/>
    <w:rsid w:val="00E21573"/>
    <w:rsid w:val="00E22EF2"/>
    <w:rsid w:val="00E40426"/>
    <w:rsid w:val="00E45201"/>
    <w:rsid w:val="00E647F2"/>
    <w:rsid w:val="00EA0E35"/>
    <w:rsid w:val="00EB2B64"/>
    <w:rsid w:val="00EB67C9"/>
    <w:rsid w:val="00EC6896"/>
    <w:rsid w:val="00EE52D7"/>
    <w:rsid w:val="00EE7A75"/>
    <w:rsid w:val="00EF25E9"/>
    <w:rsid w:val="00EF4141"/>
    <w:rsid w:val="00F33533"/>
    <w:rsid w:val="00F3706A"/>
    <w:rsid w:val="00F44A60"/>
    <w:rsid w:val="00F71814"/>
    <w:rsid w:val="00FD5C60"/>
    <w:rsid w:val="00FE6F1E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548C546"/>
  <w15:docId w15:val="{324BBD97-F498-4A84-9E18-41B27544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B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0A5F2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D711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3E6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6E1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E6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6E1C"/>
    <w:rPr>
      <w:rFonts w:cs="Times New Roman"/>
    </w:rPr>
  </w:style>
  <w:style w:type="paragraph" w:customStyle="1" w:styleId="Address">
    <w:name w:val="Address"/>
    <w:basedOn w:val="Normal"/>
    <w:uiPriority w:val="99"/>
    <w:rsid w:val="003E6E1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ormal"/>
    <w:rsid w:val="00FE7D1D"/>
    <w:pPr>
      <w:spacing w:before="100" w:beforeAutospacing="1" w:after="100" w:afterAutospacing="1" w:line="360" w:lineRule="atLeas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73B2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24"/>
    <w:rPr>
      <w:color w:val="605E5C"/>
      <w:shd w:val="clear" w:color="auto" w:fill="E1DFDD"/>
    </w:rPr>
  </w:style>
  <w:style w:type="paragraph" w:customStyle="1" w:styleId="Default0">
    <w:name w:val="Default"/>
    <w:rsid w:val="004B772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8148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7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ow.nhs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mantha.mckeown1@nhs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wie.torrente@nhs.net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mailto:debbie.wiggins1@nhs.ne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ow.nhs.uk/Downloads/Policies/Dress%20Code%20and%20Uniform%20polic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C384E624D56408AC47F03BF4FDACE" ma:contentTypeVersion="17" ma:contentTypeDescription="Create a new document." ma:contentTypeScope="" ma:versionID="5cadcd6f61c0fa7f94516c2042c88795">
  <xsd:schema xmlns:xsd="http://www.w3.org/2001/XMLSchema" xmlns:xs="http://www.w3.org/2001/XMLSchema" xmlns:p="http://schemas.microsoft.com/office/2006/metadata/properties" xmlns:ns1="http://schemas.microsoft.com/sharepoint/v3" xmlns:ns2="ce368e7a-2116-4d3d-9779-befb65c5a772" xmlns:ns3="c09b88dd-8170-4f3a-9ab7-62442fa52a5c" targetNamespace="http://schemas.microsoft.com/office/2006/metadata/properties" ma:root="true" ma:fieldsID="8768f5631f3100852519dd23e9dd6084" ns1:_="" ns2:_="" ns3:_="">
    <xsd:import namespace="http://schemas.microsoft.com/sharepoint/v3"/>
    <xsd:import namespace="ce368e7a-2116-4d3d-9779-befb65c5a772"/>
    <xsd:import namespace="c09b88dd-8170-4f3a-9ab7-62442fa52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8e7a-2116-4d3d-9779-befb65c5a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88dd-8170-4f3a-9ab7-62442fa52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5b3523d-55f6-4436-9978-4012c31da3c0}" ma:internalName="TaxCatchAll" ma:showField="CatchAllData" ma:web="c09b88dd-8170-4f3a-9ab7-62442fa52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e368e7a-2116-4d3d-9779-befb65c5a772">
      <Terms xmlns="http://schemas.microsoft.com/office/infopath/2007/PartnerControls"/>
    </lcf76f155ced4ddcb4097134ff3c332f>
    <_ip_UnifiedCompliancePolicyProperties xmlns="http://schemas.microsoft.com/sharepoint/v3" xsi:nil="true"/>
    <TaxCatchAll xmlns="c09b88dd-8170-4f3a-9ab7-62442fa52a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A4BA0-4CA1-4773-B52B-4C1E3BBE4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368e7a-2116-4d3d-9779-befb65c5a772"/>
    <ds:schemaRef ds:uri="c09b88dd-8170-4f3a-9ab7-62442fa52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57660-DF19-49F1-BF8D-8BE877B05092}">
  <ds:schemaRefs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ce368e7a-2116-4d3d-9779-befb65c5a772"/>
    <ds:schemaRef ds:uri="http://schemas.microsoft.com/office/infopath/2007/PartnerControls"/>
    <ds:schemaRef ds:uri="http://schemas.openxmlformats.org/package/2006/metadata/core-properties"/>
    <ds:schemaRef ds:uri="c09b88dd-8170-4f3a-9ab7-62442fa52a5c"/>
  </ds:schemaRefs>
</ds:datastoreItem>
</file>

<file path=customXml/itemProps3.xml><?xml version="1.0" encoding="utf-8"?>
<ds:datastoreItem xmlns:ds="http://schemas.openxmlformats.org/officeDocument/2006/customXml" ds:itemID="{819D5999-A266-4F3E-8126-951AFB7A21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NHS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baker_d</dc:creator>
  <cp:lastModifiedBy>TURNER, Mandi (ISLE OF WIGHT NHS TRUST)</cp:lastModifiedBy>
  <cp:revision>2</cp:revision>
  <dcterms:created xsi:type="dcterms:W3CDTF">2024-10-01T13:11:00Z</dcterms:created>
  <dcterms:modified xsi:type="dcterms:W3CDTF">2024-10-01T13:11:00Z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0x010100E1FC384E624D56408AC47F03BF4FDACE</vt:lpwstr>
  </property>
</Properties>
</file>